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1080" w:firstLine="0" w:firstLineChars="0"/>
        <w:rPr>
          <w:sz w:val="32"/>
          <w:szCs w:val="32"/>
        </w:rPr>
      </w:pPr>
      <w:r>
        <w:rPr>
          <w:rFonts w:hint="eastAsia"/>
          <w:sz w:val="32"/>
          <w:szCs w:val="32"/>
        </w:rPr>
        <w:t>芜湖新兴铸管有限公司</w:t>
      </w:r>
    </w:p>
    <w:p>
      <w:pPr>
        <w:tabs>
          <w:tab w:val="left" w:pos="860"/>
        </w:tabs>
        <w:rPr>
          <w:sz w:val="32"/>
          <w:szCs w:val="32"/>
        </w:rPr>
      </w:pPr>
      <w:r>
        <w:rPr>
          <w:sz w:val="32"/>
          <w:szCs w:val="32"/>
        </w:rPr>
        <w:tab/>
      </w:r>
      <w:r>
        <w:rPr>
          <w:rFonts w:hint="eastAsia"/>
          <w:sz w:val="32"/>
          <w:szCs w:val="32"/>
        </w:rPr>
        <w:t>——</w:t>
      </w:r>
      <w:r>
        <w:rPr>
          <w:sz w:val="32"/>
          <w:szCs w:val="32"/>
        </w:rPr>
        <w:t>坚持绿色发展 守护一江碧水</w:t>
      </w:r>
      <w:r>
        <w:rPr>
          <w:sz w:val="32"/>
          <w:szCs w:val="32"/>
        </w:rPr>
        <w:br w:type="textWrapping"/>
      </w:r>
      <w:r>
        <w:rPr>
          <w:sz w:val="32"/>
          <w:szCs w:val="32"/>
        </w:rPr>
        <w:br w:type="textWrapping"/>
      </w:r>
      <w:r>
        <w:rPr>
          <w:rFonts w:hint="eastAsia"/>
          <w:sz w:val="32"/>
          <w:szCs w:val="32"/>
        </w:rPr>
        <w:t xml:space="preserve">    </w:t>
      </w:r>
      <w:r>
        <w:rPr>
          <w:sz w:val="32"/>
          <w:szCs w:val="32"/>
        </w:rPr>
        <w:t>2016年以来，芜湖新兴铸管坚持“绿水青山就是金山银山”的发展理念，大力推进环保设施提标改造，全力实现清洁生产、超低排放，将绿色发展的生态优势转换为效益提升的经济优势，用绿色发展的新动能催动企业快速前进。</w:t>
      </w:r>
      <w:r>
        <w:rPr>
          <w:sz w:val="32"/>
          <w:szCs w:val="32"/>
        </w:rPr>
        <w:br w:type="textWrapping"/>
      </w:r>
      <w:bookmarkStart w:id="0" w:name="_GoBack"/>
      <w:bookmarkEnd w:id="0"/>
      <w:r>
        <w:rPr>
          <w:sz w:val="32"/>
          <w:szCs w:val="32"/>
        </w:rPr>
        <w:br w:type="textWrapping"/>
      </w:r>
      <w:r>
        <w:rPr>
          <w:sz w:val="32"/>
          <w:szCs w:val="32"/>
        </w:rPr>
        <w:t>公司设有全厂综合污水处理站，炼铁高炉、炼钢连铸、铸管离心机等设备间接冷却水，以及高炉冲渣水、铸管水泥涂衬水等浊环水全部内部循环使用。以保护和改善长江生态环境质量为核心，编制《公司长江大保护规划》，打响废气防治、废水防治和土壤防治攻坚战，确保厂区周边长江干流及支流水质安全。通过推进节水工艺与设备的使用、提高生产水重复利用率、实施非常规水资源利用等举措，减少生产用新水消耗量，保障生态用水需求。2017年投资2200万元，升级改造焦化废水处理系统，焦化废水出水指标提高至再生水标准要求，全部作为公司生产循环水系统的补充水使用，年减少新水用量61万吨，大大减少了从长江直接补用的一级水，节约了大量水资源。</w:t>
      </w:r>
      <w:r>
        <w:rPr>
          <w:sz w:val="32"/>
          <w:szCs w:val="32"/>
        </w:rPr>
        <w:br w:type="textWrapping"/>
      </w:r>
      <w:r>
        <w:rPr>
          <w:sz w:val="32"/>
          <w:szCs w:val="32"/>
        </w:rPr>
        <w:br w:type="textWrapping"/>
      </w:r>
      <w:r>
        <w:rPr>
          <w:sz w:val="32"/>
          <w:szCs w:val="32"/>
        </w:rPr>
        <w:t>为降低焦炉本体逃逸的烟尘、二氧化硫等有害物质，芜湖新兴铸管投资1.4亿元在两座焦炉顶设置两套逃烟气收集装置，将收集的含尘烟气经除尘地面站处理后排放，年减排粉尘106吨，此项目属全国首例。2018年8月，依据《国务院打赢蓝天保卫战三年行动计划》和《生态环境部钢铁行业超低排放意见》要求，芜湖新兴铸管编制《三年绿色环保发展规划》，计划投资18.41亿元，打造华东地区钢铁行业环保绿色化标杆企业。焦炉烟气脱硫脱硝、烧结活性焦一体化脱硫脱硝、65MW发电燃气锅炉烟气治理、原料场棚化项目等一大批环保提标改造和厂貌提升项目陆续建成使用，年减排氮氧化物4840吨、二氧化硫1378吨、颗粒物548吨，主要工序污染物排放浓度达到行业超低排放标准，超低排放改造工作走在行业前列。下一步，将持续推进无组织综合治理等超低排放改造项目，保质保量如期完成超低排放改造工作。</w:t>
      </w:r>
      <w:r>
        <w:rPr>
          <w:sz w:val="32"/>
          <w:szCs w:val="32"/>
        </w:rPr>
        <w:br w:type="textWrapping"/>
      </w:r>
      <w:r>
        <w:rPr>
          <w:sz w:val="32"/>
          <w:szCs w:val="32"/>
        </w:rPr>
        <w:br w:type="textWrapping"/>
      </w:r>
      <w:r>
        <w:rPr>
          <w:sz w:val="32"/>
          <w:szCs w:val="32"/>
        </w:rPr>
        <w:t>聚焦创新驱动 加快转型升级</w:t>
      </w:r>
      <w:r>
        <w:rPr>
          <w:sz w:val="32"/>
          <w:szCs w:val="32"/>
        </w:rPr>
        <w:br w:type="textWrapping"/>
      </w:r>
      <w:r>
        <w:rPr>
          <w:sz w:val="32"/>
          <w:szCs w:val="32"/>
        </w:rPr>
        <w:br w:type="textWrapping"/>
      </w:r>
      <w:r>
        <w:rPr>
          <w:sz w:val="32"/>
          <w:szCs w:val="32"/>
        </w:rPr>
        <w:t>科技创新是支撑高质量发展的重要基石。芜湖新兴铸管大力实施创新驱动发展战略，聚力科技引领转型，聚焦创新转换动能，凝聚高端智力资源，为高质量发展提供强劲动能。</w:t>
      </w:r>
      <w:r>
        <w:rPr>
          <w:sz w:val="32"/>
          <w:szCs w:val="32"/>
        </w:rPr>
        <w:br w:type="textWrapping"/>
      </w:r>
      <w:r>
        <w:rPr>
          <w:sz w:val="32"/>
          <w:szCs w:val="32"/>
        </w:rPr>
        <w:br w:type="textWrapping"/>
      </w:r>
      <w:r>
        <w:rPr>
          <w:sz w:val="32"/>
          <w:szCs w:val="32"/>
        </w:rPr>
        <w:t>近年来，芜湖新兴铸管紧盯市场“风云变幻”，加快特征产品科技攻关，相继开发了高端冷镦钢、LZ50车轴钢、超级环保易切削钢、磨球钢、轴承钢、汽车齿轮用钢、DN1200-2200短顶管、环氧陶瓷涂层铸件、球铁马鞍式管卡件等一系列高附加值产品。企业高质量发展的关键在于核心技术的研发。“十三五”期间，Φ12mm螺纹五切分轧制技术、低成本螺纹钢生产技术、小方坯在线压下技术、中间包等离子加热技术、铸坯表面质量控制技术、消失模涂料灌浆套筒工艺出品率提升、球铁管件本体性能提高研发、单组份水性环氧管件涂层等一系列关键核心技术取得突破，《D2600系列大口径涂料热模离心铸造球铁管研发与产业化》项目荣获安徽省科技进步奖二等奖。与此同时，智能化建设取得长足进步，从无到有建成铸管、铸件MES系统。铸管MES系统以“制造+智造”的思路探索融合AR/VR、5G、物联网、自动化、机器人、三维建模等先进技术，实现铸管管号全流程识别跟踪，构建铸管数字化车间。铸件MES系统应用激光雕刻机、打磨机器人提供“一站式（One-Stop）”经营决策支持。此外废钢智能识别、公司智慧安全平台（覆盖动控、炼钢、轧钢现场数据自动采集和智能识别）、智慧物流、质保书自动出具等智能系统相继投入使用。目前，芜湖新兴铸管拥有省级研发平台3个，拥有专利531件（其中，发明专利153件），位列安徽省发明专利百强第36位。</w:t>
      </w:r>
      <w:r>
        <w:rPr>
          <w:sz w:val="32"/>
          <w:szCs w:val="32"/>
        </w:rPr>
        <w:br w:type="textWrapping"/>
      </w:r>
      <w:r>
        <w:rPr>
          <w:sz w:val="32"/>
          <w:szCs w:val="32"/>
        </w:rPr>
        <w:br w:type="textWrapping"/>
      </w:r>
      <w:r>
        <w:rPr>
          <w:sz w:val="32"/>
          <w:szCs w:val="32"/>
        </w:rPr>
        <w:br w:type="textWrapping"/>
      </w:r>
      <w:r>
        <w:rPr>
          <w:sz w:val="32"/>
          <w:szCs w:val="32"/>
        </w:rPr>
        <w:t>奋力开拓市场 助力经济建设</w:t>
      </w:r>
      <w:r>
        <w:rPr>
          <w:sz w:val="32"/>
          <w:szCs w:val="32"/>
        </w:rPr>
        <w:br w:type="textWrapping"/>
      </w:r>
      <w:r>
        <w:rPr>
          <w:sz w:val="32"/>
          <w:szCs w:val="32"/>
        </w:rPr>
        <w:br w:type="textWrapping"/>
      </w:r>
      <w:r>
        <w:rPr>
          <w:sz w:val="32"/>
          <w:szCs w:val="32"/>
        </w:rPr>
        <w:t>2016年以来，芜湖新兴铸管认真贯彻落实党中央关于长江经济带“共抓大保护，不搞大开发”的指示精神，抢抓最佳发展机遇，勇闯市场奋力开拓，积极参与长江经济带建设。</w:t>
      </w:r>
      <w:r>
        <w:rPr>
          <w:sz w:val="32"/>
          <w:szCs w:val="32"/>
        </w:rPr>
        <w:br w:type="textWrapping"/>
      </w:r>
      <w:r>
        <w:rPr>
          <w:sz w:val="32"/>
          <w:szCs w:val="32"/>
        </w:rPr>
        <w:br w:type="textWrapping"/>
      </w:r>
      <w:r>
        <w:rPr>
          <w:sz w:val="32"/>
          <w:szCs w:val="32"/>
        </w:rPr>
        <w:t>芜湖新兴铸管立足本地周边区域，大力推进螺纹钢直销，开发重点项目工程。为保证芜湖长江三桥公路桥建设顺利推进，有针对性地施行“三专一保”（专产、专供、专检和保供）政策，在生产、运输过程中全程采用个性化定制服务方案，做到应供尽供，确保为大桥建设提供优质建筑钢材。自2016年12月份起，历经3年多时间，为该工程保质保量供应建筑钢材近8万吨，占大桥建设所需建筑钢材的55%。此外，芜湖新兴铸管建筑钢材在商合杭公铁大桥（芜湖长江三桥）、芜湖长江二桥、芜湖轻轨、合肥地铁等重点工程项目中得到成功运用，在长江经济带获得广泛认可。2016年以来，芜湖新兴铸管公司积极参与长江经济带建设，累计供应钢材产品1200余万吨，优特钢、线材产品广泛应用于长江经济带汽车制造、工程机械、桥梁、风电、核电、铁路等领域。公司螺纹钢产品多次获“安徽省建筑钢材领导品牌”“大桥局集团年度优质供应商”“商合杭项目部优质供应商”等荣誉称号。</w:t>
      </w:r>
      <w:r>
        <w:rPr>
          <w:sz w:val="32"/>
          <w:szCs w:val="32"/>
        </w:rPr>
        <w:br w:type="textWrapping"/>
      </w:r>
      <w:r>
        <w:rPr>
          <w:sz w:val="32"/>
          <w:szCs w:val="32"/>
        </w:rPr>
        <w:br w:type="textWrapping"/>
      </w:r>
      <w:r>
        <w:rPr>
          <w:sz w:val="32"/>
          <w:szCs w:val="32"/>
        </w:rPr>
        <w:t>2020年，芜湖新兴铸管实现营业收入152亿元，利润总额13亿元，上缴税金7.5亿元，各项经营指标屡创新高，取得了疫情、汛情冲击下的持续稳定发展，谱写了依托长江经济带实现高质量发展的新兴之歌。</w:t>
      </w:r>
    </w:p>
    <w:p>
      <w:pPr>
        <w:rPr>
          <w:sz w:val="32"/>
          <w:szCs w:val="32"/>
        </w:rPr>
      </w:pPr>
      <w:r>
        <w:rPr>
          <w:rFonts w:hint="eastAsia"/>
          <w:sz w:val="32"/>
          <w:szCs w:val="32"/>
        </w:rPr>
        <w:t>企业图片：</w:t>
      </w:r>
    </w:p>
    <w:p>
      <w:pPr>
        <w:ind w:firstLine="640" w:firstLineChars="200"/>
        <w:rPr>
          <w:sz w:val="32"/>
          <w:szCs w:val="32"/>
        </w:rPr>
      </w:pPr>
      <w:r>
        <w:rPr>
          <w:sz w:val="32"/>
          <w:szCs w:val="32"/>
        </w:rPr>
        <w:drawing>
          <wp:inline distT="0" distB="0" distL="0" distR="0">
            <wp:extent cx="3929380" cy="2593340"/>
            <wp:effectExtent l="0" t="0" r="2540" b="12700"/>
            <wp:docPr id="1" name="图片 1" descr="C:\Users\Administrator\Documents\Tencent Files\1563908188\Image\C2C\0F2C23F5D7FD6F12C123201EC6601E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1563908188\Image\C2C\0F2C23F5D7FD6F12C123201EC6601EAA.jpg"/>
                    <pic:cNvPicPr>
                      <a:picLocks noChangeAspect="1" noChangeArrowheads="1"/>
                    </pic:cNvPicPr>
                  </pic:nvPicPr>
                  <pic:blipFill>
                    <a:blip r:embed="rId4" cstate="print"/>
                    <a:srcRect/>
                    <a:stretch>
                      <a:fillRect/>
                    </a:stretch>
                  </pic:blipFill>
                  <pic:spPr>
                    <a:xfrm>
                      <a:off x="0" y="0"/>
                      <a:ext cx="3931943" cy="2594679"/>
                    </a:xfrm>
                    <a:prstGeom prst="rect">
                      <a:avLst/>
                    </a:prstGeom>
                    <a:noFill/>
                    <a:ln w="9525">
                      <a:noFill/>
                      <a:miter lim="800000"/>
                      <a:headEnd/>
                      <a:tailEnd/>
                    </a:ln>
                  </pic:spPr>
                </pic:pic>
              </a:graphicData>
            </a:graphic>
          </wp:inline>
        </w:drawing>
      </w:r>
    </w:p>
    <w:p>
      <w:pPr>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A5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73731</dc:creator>
  <cp:lastModifiedBy>喝瓶82年雪碧压压惊</cp:lastModifiedBy>
  <dcterms:modified xsi:type="dcterms:W3CDTF">2021-03-03T01:26:06Z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